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ind w:left="558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Председателю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ind w:left="558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22272f"/>
          <w:sz w:val="28"/>
          <w:szCs w:val="28"/>
          <w:highlight w:val="none"/>
        </w:rPr>
        <w:t xml:space="preserve">региональной</w:t>
      </w:r>
      <w:r>
        <w:rPr>
          <w:rFonts w:ascii="Tinos" w:hAnsi="Tinos" w:eastAsia="Tinos" w:cs="Tinos"/>
          <w:sz w:val="28"/>
          <w:szCs w:val="28"/>
        </w:rPr>
        <w:t xml:space="preserve"> ап</w:t>
      </w:r>
      <w:r>
        <w:rPr>
          <w:rFonts w:ascii="Tinos" w:hAnsi="Tinos" w:eastAsia="Tinos" w:cs="Tinos"/>
          <w:sz w:val="28"/>
          <w:szCs w:val="28"/>
        </w:rPr>
        <w:t xml:space="preserve">елляционной       комиссии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left="0" w:right="0" w:firstLine="0"/>
        <w:jc w:val="left"/>
        <w:rPr>
          <w:rFonts w:ascii="Tinos" w:hAnsi="Tinos" w:cs="Tinos"/>
          <w:color w:val="22272f"/>
          <w:sz w:val="28"/>
          <w:szCs w:val="28"/>
          <w:highlight w:val="none"/>
        </w:rPr>
      </w:pPr>
      <w:r>
        <w:rPr>
          <w:rFonts w:ascii="Tinos" w:hAnsi="Tinos" w:eastAsia="Tinos" w:cs="Tinos"/>
          <w:color w:val="22272f"/>
          <w:sz w:val="28"/>
          <w:szCs w:val="28"/>
          <w:highlight w:val="none"/>
        </w:rPr>
        <w:t xml:space="preserve">                                                                                         по   </w:t>
      </w:r>
      <w:r>
        <w:rPr>
          <w:rFonts w:ascii="Tinos" w:hAnsi="Tinos" w:eastAsia="Tinos" w:cs="Tinos"/>
          <w:color w:val="22272f"/>
          <w:sz w:val="28"/>
          <w:szCs w:val="28"/>
          <w:highlight w:val="none"/>
        </w:rPr>
        <w:t xml:space="preserve">обжалованию решений о                             </w:t>
      </w:r>
      <w:r>
        <w:rPr>
          <w:rFonts w:ascii="Tinos" w:hAnsi="Tinos" w:eastAsia="Tinos" w:cs="Tinos"/>
          <w:color w:val="22272f"/>
          <w:sz w:val="28"/>
          <w:szCs w:val="28"/>
          <w:highlight w:val="none"/>
        </w:rPr>
      </w:r>
      <w:r>
        <w:rPr>
          <w:rFonts w:ascii="Tinos" w:hAnsi="Tinos" w:cs="Tinos"/>
          <w:color w:val="22272f"/>
          <w:sz w:val="28"/>
          <w:szCs w:val="28"/>
          <w:highlight w:val="none"/>
        </w:rPr>
      </w:r>
    </w:p>
    <w:p>
      <w:pPr>
        <w:ind w:left="5580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color w:val="22272f"/>
          <w:sz w:val="28"/>
          <w:szCs w:val="28"/>
          <w:highlight w:val="none"/>
        </w:rPr>
        <w:t xml:space="preserve">  приостан</w:t>
      </w:r>
      <w:r>
        <w:rPr>
          <w:rFonts w:ascii="Tinos" w:hAnsi="Tinos" w:eastAsia="Tinos" w:cs="Tinos"/>
          <w:color w:val="22272f"/>
          <w:sz w:val="28"/>
          <w:szCs w:val="28"/>
          <w:highlight w:val="none"/>
        </w:rPr>
        <w:t xml:space="preserve">овлении   осуществления государственного кадастрового учета недвижимого имущества и (или) государственной регистрации прав на недвижимое имущество при Управлении Федеральной службы государственной регистрации, кадастра и картографии по Республике Татарстан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2"/>
        <w:ind w:left="0"/>
        <w:jc w:val="lef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ind w:left="5580"/>
        <w:jc w:val="center"/>
        <w:rPr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Н.Р. Галиакбарову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left="558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left="5664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от______________________________       ______________________________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ind w:left="5664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ind w:left="5664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Почтовый адрес:__________________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ind w:left="5664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5664"/>
        <w:rPr>
          <w:rFonts w:ascii="Tinos" w:hAnsi="Tinos" w:cs="Tinos"/>
          <w:sz w:val="28"/>
          <w:szCs w:val="28"/>
          <w:u w:val="single"/>
        </w:rPr>
      </w:pPr>
      <w:r>
        <w:rPr>
          <w:rFonts w:ascii="Tinos" w:hAnsi="Tinos" w:eastAsia="Tinos" w:cs="Tinos"/>
          <w:sz w:val="28"/>
          <w:szCs w:val="28"/>
          <w:highlight w:val="none"/>
          <w:u w:val="none"/>
        </w:rPr>
        <w:t xml:space="preserve">Адрес юридического лица в пределах нахождения юридического лица </w:t>
      </w:r>
      <w:r>
        <w:rPr>
          <w:rFonts w:ascii="Tinos" w:hAnsi="Tinos" w:eastAsia="Tinos" w:cs="Tinos"/>
          <w:sz w:val="24"/>
          <w:szCs w:val="24"/>
          <w:highlight w:val="none"/>
          <w:u w:val="none"/>
        </w:rPr>
        <w:t xml:space="preserve">(для юридических лиц)</w:t>
      </w:r>
      <w:r>
        <w:rPr>
          <w:rFonts w:ascii="Tinos" w:hAnsi="Tinos" w:eastAsia="Tinos" w:cs="Tinos"/>
          <w:sz w:val="28"/>
          <w:szCs w:val="28"/>
          <w:highlight w:val="none"/>
          <w:u w:val="none"/>
        </w:rPr>
        <w:t xml:space="preserve">: ________________________________</w:t>
      </w:r>
      <w:r>
        <w:rPr>
          <w:rFonts w:ascii="Tinos" w:hAnsi="Tinos" w:eastAsia="Tinos" w:cs="Tinos"/>
          <w:sz w:val="28"/>
          <w:szCs w:val="28"/>
          <w:highlight w:val="none"/>
          <w:u w:val="single"/>
        </w:rPr>
        <w:t xml:space="preserve"> </w:t>
      </w:r>
      <w:r>
        <w:rPr>
          <w:rFonts w:ascii="Tinos" w:hAnsi="Tinos" w:eastAsia="Tinos" w:cs="Tinos"/>
          <w:sz w:val="28"/>
          <w:szCs w:val="28"/>
          <w:u w:val="single"/>
        </w:rPr>
      </w:r>
      <w:r>
        <w:rPr>
          <w:rFonts w:ascii="Tinos" w:hAnsi="Tinos" w:cs="Tinos"/>
          <w:sz w:val="28"/>
          <w:szCs w:val="28"/>
          <w:u w:val="single"/>
        </w:rPr>
      </w:r>
    </w:p>
    <w:p>
      <w:pPr>
        <w:pStyle w:val="832"/>
        <w:ind w:left="0"/>
        <w:rPr>
          <w:rFonts w:ascii="Tinos" w:hAnsi="Tinos" w:cs="Tinos"/>
          <w:sz w:val="28"/>
          <w:szCs w:val="28"/>
          <w:u w:val="single"/>
        </w:rPr>
      </w:pP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Адрес электронной почты:  </w:t>
      </w:r>
      <w:r>
        <w:rPr>
          <w:rFonts w:ascii="Tinos" w:hAnsi="Tinos" w:eastAsia="Tinos" w:cs="Tinos"/>
          <w:sz w:val="28"/>
          <w:szCs w:val="28"/>
          <w:u w:val="single"/>
        </w:rPr>
        <w:t xml:space="preserve">                   </w:t>
      </w:r>
      <w:r>
        <w:rPr>
          <w:rFonts w:ascii="Tinos" w:hAnsi="Tinos" w:eastAsia="Tinos" w:cs="Tinos"/>
          <w:sz w:val="28"/>
          <w:szCs w:val="28"/>
          <w:highlight w:val="none"/>
          <w:u w:val="single"/>
        </w:rPr>
      </w:r>
      <w:r>
        <w:rPr>
          <w:rFonts w:ascii="Tinos" w:hAnsi="Tinos" w:cs="Tinos"/>
          <w:sz w:val="28"/>
          <w:szCs w:val="28"/>
          <w:u w:val="single"/>
        </w:rPr>
      </w:r>
    </w:p>
    <w:p>
      <w:pPr>
        <w:ind w:left="5664"/>
        <w:rPr>
          <w:rFonts w:ascii="Tinos" w:hAnsi="Tinos" w:cs="Tinos"/>
          <w:b w:val="0"/>
          <w:bCs w:val="0"/>
          <w:sz w:val="28"/>
          <w:szCs w:val="28"/>
          <w:u w:val="single"/>
        </w:rPr>
      </w:pPr>
      <w:r>
        <w:rPr>
          <w:rFonts w:ascii="Tinos" w:hAnsi="Tinos" w:eastAsia="Tinos" w:cs="Tinos"/>
          <w:sz w:val="28"/>
          <w:szCs w:val="28"/>
          <w:highlight w:val="none"/>
          <w:u w:val="single"/>
        </w:rPr>
        <w:t xml:space="preserve">________________________________</w:t>
      </w:r>
      <w:r>
        <w:rPr>
          <w:rFonts w:ascii="Tinos" w:hAnsi="Tinos" w:cs="Tinos"/>
          <w:b w:val="0"/>
          <w:bCs w:val="0"/>
          <w:sz w:val="28"/>
          <w:szCs w:val="28"/>
          <w:u w:val="single"/>
        </w:rPr>
      </w:r>
      <w:r>
        <w:rPr>
          <w:rFonts w:ascii="Tinos" w:hAnsi="Tinos" w:cs="Tinos"/>
          <w:b w:val="0"/>
          <w:bCs w:val="0"/>
          <w:sz w:val="28"/>
          <w:szCs w:val="28"/>
          <w:u w:val="single"/>
        </w:rPr>
      </w:r>
    </w:p>
    <w:p>
      <w:pPr>
        <w:pStyle w:val="832"/>
        <w:ind w:left="5664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Номер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2"/>
        <w:ind w:left="5664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контактного телефона:____________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5664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5664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СНИЛС </w:t>
      </w:r>
      <w:r>
        <w:rPr>
          <w:rFonts w:ascii="Tinos" w:hAnsi="Tinos" w:eastAsia="Tinos" w:cs="Tinos"/>
          <w:sz w:val="24"/>
          <w:szCs w:val="24"/>
          <w:highlight w:val="none"/>
        </w:rPr>
        <w:t xml:space="preserve">(для кадастрового инженера)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5664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spacing w:line="200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32"/>
        <w:spacing w:line="200" w:lineRule="atLeast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Заявление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2"/>
        <w:spacing w:line="200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spacing w:line="200" w:lineRule="atLeast"/>
        <w:ind w:firstLine="708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В соответствии со статьями 29, 31.1, 31.2 Федерального закона от 13 июля 2015 г.  № 218-ФЗ «О государственной регистрации недвижимости» прошу рассмотреть  заявление об обжаловании решения о приостановлении осуществления государственного кадастрового учета</w:t>
      </w:r>
      <w:r>
        <w:rPr>
          <w:rFonts w:ascii="Tinos" w:hAnsi="Tinos" w:eastAsia="Tinos" w:cs="Tinos"/>
          <w:sz w:val="28"/>
          <w:szCs w:val="28"/>
        </w:rPr>
        <w:t xml:space="preserve"> (приостановления осуществления (далее нужное отметить знаком «V»):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63"/>
        <w:rPr>
          <w:rFonts w:ascii="Tinos" w:hAnsi="Tinos" w:cs="Tinos"/>
          <w:sz w:val="22"/>
        </w:rPr>
      </w:pPr>
      <w:r>
        <w:rPr>
          <w:rFonts w:ascii="Tinos" w:hAnsi="Tinos" w:eastAsia="Tinos" w:cs="Tinos"/>
          <w:sz w:val="28"/>
          <w:szCs w:val="28"/>
        </w:rPr>
        <w:t xml:space="preserve">     ┌─┐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2"/>
        </w:rPr>
      </w:r>
    </w:p>
    <w:p>
      <w:pPr>
        <w:pStyle w:val="863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</w:t>
      </w:r>
      <w:r>
        <w:rPr>
          <w:rFonts w:ascii="Tinos" w:hAnsi="Tinos" w:eastAsia="Tinos" w:cs="Tinos"/>
          <w:sz w:val="28"/>
          <w:szCs w:val="28"/>
        </w:rPr>
        <w:t xml:space="preserve">│    </w:t>
      </w:r>
      <w:r>
        <w:rPr>
          <w:rFonts w:ascii="Tinos" w:hAnsi="Tinos" w:eastAsia="Tinos" w:cs="Tinos"/>
          <w:sz w:val="28"/>
          <w:szCs w:val="28"/>
        </w:rPr>
        <w:t xml:space="preserve">государственного кадастрового учета недвижимого имущества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63"/>
        <w:rPr>
          <w:rFonts w:ascii="Tinos" w:hAnsi="Tinos" w:cs="Tinos"/>
          <w:sz w:val="22"/>
        </w:rPr>
      </w:pPr>
      <w:r>
        <w:rPr>
          <w:rFonts w:ascii="Tinos" w:hAnsi="Tinos" w:eastAsia="Tinos" w:cs="Tinos"/>
          <w:sz w:val="28"/>
          <w:szCs w:val="28"/>
        </w:rPr>
        <w:t xml:space="preserve">     └─┘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2"/>
        </w:rPr>
      </w:r>
    </w:p>
    <w:p>
      <w:pPr>
        <w:pStyle w:val="863"/>
        <w:rPr>
          <w:rFonts w:ascii="Tinos" w:hAnsi="Tinos" w:cs="Tinos"/>
          <w:sz w:val="22"/>
        </w:rPr>
      </w:pPr>
      <w:r>
        <w:rPr>
          <w:rFonts w:ascii="Tinos" w:hAnsi="Tinos" w:eastAsia="Tinos" w:cs="Tinos"/>
          <w:sz w:val="28"/>
          <w:szCs w:val="28"/>
        </w:rPr>
        <w:t xml:space="preserve">     ┌─┐ </w:t>
      </w:r>
      <w:r>
        <w:rPr>
          <w:rFonts w:ascii="Tinos" w:hAnsi="Tinos" w:eastAsia="Tinos" w:cs="Tinos"/>
          <w:sz w:val="28"/>
          <w:szCs w:val="28"/>
        </w:rPr>
        <w:t xml:space="preserve">государственной регистрации прав, в том числе ограничений прав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2"/>
        </w:rPr>
      </w:r>
    </w:p>
    <w:p>
      <w:pPr>
        <w:pStyle w:val="863"/>
        <w:rPr>
          <w:rFonts w:ascii="Tinos" w:hAnsi="Tinos" w:cs="Tinos"/>
          <w:sz w:val="22"/>
        </w:rPr>
      </w:pPr>
      <w:r>
        <w:rPr>
          <w:rFonts w:ascii="Tinos" w:hAnsi="Tinos" w:eastAsia="Tinos" w:cs="Tinos"/>
          <w:sz w:val="28"/>
          <w:szCs w:val="28"/>
        </w:rPr>
        <w:t xml:space="preserve">     │    </w:t>
      </w:r>
      <w:r>
        <w:rPr>
          <w:rFonts w:ascii="Tinos" w:hAnsi="Tinos" w:eastAsia="Tinos" w:cs="Tinos"/>
          <w:sz w:val="28"/>
          <w:szCs w:val="28"/>
        </w:rPr>
        <w:t xml:space="preserve">на недвижимое имущество, обременений недвижимого имущества,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2"/>
        </w:rPr>
      </w:r>
    </w:p>
    <w:p>
      <w:pPr>
        <w:pStyle w:val="863"/>
        <w:rPr>
          <w:rFonts w:ascii="Tinos" w:hAnsi="Tinos" w:cs="Tinos"/>
          <w:sz w:val="22"/>
        </w:rPr>
      </w:pPr>
      <w:r>
        <w:rPr>
          <w:rFonts w:ascii="Tinos" w:hAnsi="Tinos" w:eastAsia="Tinos" w:cs="Tinos"/>
          <w:sz w:val="28"/>
          <w:szCs w:val="28"/>
        </w:rPr>
        <w:t xml:space="preserve">     └─┘ </w:t>
      </w:r>
      <w:r>
        <w:rPr>
          <w:rFonts w:ascii="Tinos" w:hAnsi="Tinos" w:eastAsia="Tinos" w:cs="Tinos"/>
          <w:sz w:val="28"/>
          <w:szCs w:val="28"/>
        </w:rPr>
        <w:t xml:space="preserve">сделок с ним;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2"/>
        </w:rPr>
      </w:r>
    </w:p>
    <w:p>
      <w:pPr>
        <w:pStyle w:val="863"/>
        <w:rPr>
          <w:rFonts w:ascii="Tinos" w:hAnsi="Tinos" w:eastAsia="Tinos" w:cs="Tinos"/>
          <w:sz w:val="28"/>
          <w:szCs w:val="28"/>
        </w:rPr>
      </w:pPr>
      <w:r>
        <w:rPr>
          <w:rFonts w:ascii="'Courier New'" w:hAnsi="'Courier New'" w:cs="'Courier New'"/>
          <w:sz w:val="22"/>
        </w:rPr>
        <w:t xml:space="preserve">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63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┌─┐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63"/>
        <w:rPr>
          <w:rFonts w:ascii="Tinos" w:hAnsi="Tinos" w:cs="Tinos"/>
          <w:sz w:val="22"/>
        </w:rPr>
      </w:pPr>
      <w:r>
        <w:rPr>
          <w:rFonts w:ascii="Tinos" w:hAnsi="Tinos" w:eastAsia="Tinos" w:cs="Tinos"/>
          <w:sz w:val="28"/>
          <w:szCs w:val="28"/>
        </w:rPr>
        <w:t xml:space="preserve">     │    </w:t>
      </w:r>
      <w:r>
        <w:rPr>
          <w:rFonts w:ascii="Tinos" w:hAnsi="Tinos" w:eastAsia="Tinos" w:cs="Tinos"/>
          <w:sz w:val="28"/>
          <w:szCs w:val="28"/>
        </w:rPr>
        <w:t xml:space="preserve">государственного кадастрового учета и государственной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2"/>
        </w:rPr>
      </w:r>
    </w:p>
    <w:p>
      <w:pPr>
        <w:pStyle w:val="863"/>
        <w:rPr>
          <w:rFonts w:ascii="Tinos" w:hAnsi="Tinos" w:cs="Tinos"/>
          <w:sz w:val="22"/>
        </w:rPr>
      </w:pPr>
      <w:r>
        <w:rPr>
          <w:rFonts w:ascii="Tinos" w:hAnsi="Tinos" w:eastAsia="Tinos" w:cs="Tinos"/>
          <w:sz w:val="28"/>
          <w:szCs w:val="28"/>
        </w:rPr>
        <w:t xml:space="preserve">     └─┘ </w:t>
      </w:r>
      <w:r>
        <w:rPr>
          <w:rFonts w:ascii="Tinos" w:hAnsi="Tinos" w:eastAsia="Tinos" w:cs="Tinos"/>
          <w:sz w:val="28"/>
          <w:szCs w:val="28"/>
        </w:rPr>
        <w:t xml:space="preserve">регистрации прав, осуществляемых одновременно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2"/>
        </w:rPr>
      </w:r>
    </w:p>
    <w:p>
      <w:pPr>
        <w:pStyle w:val="863"/>
        <w:rPr>
          <w:rFonts w:ascii="Tinos" w:hAnsi="Tinos" w:cs="Tinos"/>
          <w:color w:val="ff0000"/>
          <w:sz w:val="24"/>
          <w:szCs w:val="24"/>
        </w:rPr>
      </w:pPr>
      <w:r>
        <w:rPr>
          <w:rFonts w:ascii="Tinos" w:hAnsi="Tinos" w:eastAsia="Tinos" w:cs="Tinos"/>
          <w:color w:val="ff0000"/>
          <w:sz w:val="24"/>
          <w:szCs w:val="24"/>
          <w:highlight w:val="none"/>
        </w:rPr>
      </w:r>
      <w:r>
        <w:rPr>
          <w:rFonts w:ascii="Tinos" w:hAnsi="Tinos" w:eastAsia="Tinos" w:cs="Tinos"/>
          <w:color w:val="ff0000"/>
          <w:sz w:val="24"/>
          <w:szCs w:val="24"/>
          <w:highlight w:val="none"/>
        </w:rPr>
      </w:r>
      <w:r>
        <w:rPr>
          <w:rFonts w:ascii="Tinos" w:hAnsi="Tinos" w:cs="Tinos"/>
          <w:color w:val="ff0000"/>
          <w:sz w:val="24"/>
          <w:szCs w:val="24"/>
        </w:rPr>
      </w:r>
    </w:p>
    <w:p>
      <w:pPr>
        <w:pStyle w:val="863"/>
        <w:rPr>
          <w:rFonts w:ascii="Tinos" w:hAnsi="Tinos" w:eastAsia="Tinos" w:cs="Tinos"/>
          <w:color w:val="ff0000"/>
          <w:sz w:val="24"/>
          <w:szCs w:val="24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принятого_____________________________________________________________</w:t>
      </w:r>
      <w:r>
        <w:rPr>
          <w:rFonts w:ascii="Tinos" w:hAnsi="Tinos" w:eastAsia="Tinos" w:cs="Tinos"/>
          <w:color w:val="ff0000"/>
          <w:sz w:val="24"/>
          <w:szCs w:val="24"/>
        </w:rPr>
        <w:t xml:space="preserve">(1)</w:t>
      </w:r>
      <w:r>
        <w:rPr>
          <w:rFonts w:ascii="Tinos" w:hAnsi="Tinos" w:eastAsia="Tinos" w:cs="Tinos"/>
          <w:color w:val="ff0000"/>
          <w:sz w:val="24"/>
          <w:szCs w:val="24"/>
        </w:rPr>
      </w:r>
      <w:r>
        <w:rPr>
          <w:rFonts w:ascii="Tinos" w:hAnsi="Tinos" w:eastAsia="Tinos" w:cs="Tinos"/>
          <w:color w:val="ff0000"/>
          <w:sz w:val="24"/>
          <w:szCs w:val="24"/>
          <w:highlight w:val="none"/>
        </w:rPr>
      </w:r>
    </w:p>
    <w:p>
      <w:pPr>
        <w:pStyle w:val="863"/>
        <w:rPr>
          <w:rFonts w:ascii="Tinos" w:hAnsi="Tinos" w:cs="Tinos"/>
          <w:sz w:val="22"/>
        </w:rPr>
      </w:pPr>
      <w:r>
        <w:rPr>
          <w:rFonts w:ascii="Tinos" w:hAnsi="Tinos" w:eastAsia="Tinos" w:cs="Tinos"/>
          <w:sz w:val="28"/>
          <w:szCs w:val="28"/>
        </w:rPr>
        <w:t xml:space="preserve">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2"/>
        </w:rPr>
      </w:r>
    </w:p>
    <w:p>
      <w:pPr>
        <w:spacing w:line="200" w:lineRule="atLeast"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по резул</w:t>
      </w:r>
      <w:r>
        <w:rPr>
          <w:rFonts w:ascii="Tinos" w:hAnsi="Tinos" w:eastAsia="Tinos" w:cs="Tinos"/>
          <w:sz w:val="28"/>
          <w:szCs w:val="28"/>
        </w:rPr>
        <w:t xml:space="preserve">ьтатам рассмотрения заявления о государственном кадастровом учете и (или) государственной регистрации прав  от ____________                                                 № ___________________________.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pacing w:line="200" w:lineRule="atLeast"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Межевой план, технический план, акт обследования</w:t>
      </w:r>
      <w:r>
        <w:rPr>
          <w:rFonts w:ascii="Tinos" w:hAnsi="Tinos" w:eastAsia="Tinos" w:cs="Tinos"/>
          <w:sz w:val="28"/>
          <w:szCs w:val="28"/>
        </w:rPr>
        <w:t xml:space="preserve">, карта-план территории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ff0000"/>
          <w:sz w:val="24"/>
          <w:szCs w:val="24"/>
        </w:rPr>
        <w:t xml:space="preserve">(2)</w:t>
      </w:r>
      <w:r>
        <w:rPr>
          <w:rFonts w:ascii="Tinos" w:hAnsi="Tinos" w:eastAsia="Tinos" w:cs="Tinos"/>
          <w:color w:val="ff0000"/>
          <w:sz w:val="24"/>
          <w:szCs w:val="24"/>
        </w:rPr>
        <w:t xml:space="preserve">,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представленный </w:t>
      </w:r>
      <w:r>
        <w:rPr>
          <w:rFonts w:ascii="Tinos" w:hAnsi="Tinos" w:eastAsia="Tinos" w:cs="Tinos"/>
          <w:sz w:val="28"/>
          <w:szCs w:val="28"/>
        </w:rPr>
        <w:t xml:space="preserve">(представленная) </w:t>
      </w:r>
      <w:r>
        <w:rPr>
          <w:rFonts w:ascii="Tinos" w:hAnsi="Tinos" w:eastAsia="Tinos" w:cs="Tinos"/>
          <w:sz w:val="28"/>
          <w:szCs w:val="28"/>
        </w:rPr>
        <w:t xml:space="preserve">с указанным заявлением, подготовил кадастровый инженер_______________________</w:t>
      </w:r>
      <w:r>
        <w:rPr>
          <w:rFonts w:ascii="Tinos" w:hAnsi="Tinos" w:eastAsia="Tinos" w:cs="Tinos"/>
          <w:sz w:val="28"/>
          <w:szCs w:val="28"/>
        </w:rPr>
        <w:t xml:space="preserve">____________________________</w:t>
      </w:r>
      <w:r>
        <w:rPr>
          <w:rFonts w:ascii="Tinos" w:hAnsi="Tinos" w:eastAsia="Tinos" w:cs="Tinos"/>
          <w:sz w:val="28"/>
          <w:szCs w:val="28"/>
        </w:rPr>
        <w:t xml:space="preserve">___________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color w:val="ff0000"/>
          <w:sz w:val="24"/>
          <w:szCs w:val="24"/>
        </w:rPr>
        <w:t xml:space="preserve">(</w:t>
      </w:r>
      <w:r>
        <w:rPr>
          <w:rFonts w:ascii="Tinos" w:hAnsi="Tinos" w:eastAsia="Tinos" w:cs="Tinos"/>
          <w:color w:val="ff0000"/>
          <w:sz w:val="24"/>
          <w:szCs w:val="24"/>
        </w:rPr>
        <w:t xml:space="preserve">3)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pacing w:line="200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spacing w:line="200" w:lineRule="atLeast"/>
        <w:ind w:firstLine="0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Заявление представляется в связи с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 _________________________________________________________________________________________________________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  <w:t xml:space="preserve">________________________</w:t>
      </w:r>
      <w:r>
        <w:rPr>
          <w:rFonts w:ascii="Tinos" w:hAnsi="Tinos" w:eastAsia="Tinos" w:cs="Tinos"/>
          <w:sz w:val="28"/>
          <w:szCs w:val="28"/>
        </w:rPr>
        <w:t xml:space="preserve">________</w:t>
      </w:r>
      <w:r>
        <w:rPr>
          <w:rFonts w:ascii="Tinos" w:hAnsi="Tinos" w:eastAsia="Tinos" w:cs="Tinos"/>
          <w:color w:val="ff0000"/>
          <w:sz w:val="24"/>
          <w:szCs w:val="24"/>
        </w:rPr>
        <w:t xml:space="preserve">(4)</w:t>
      </w:r>
      <w:r>
        <w:rPr>
          <w:rFonts w:ascii="Tinos" w:hAnsi="Tinos" w:eastAsia="Tinos" w:cs="Tinos"/>
          <w:sz w:val="24"/>
          <w:szCs w:val="24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2"/>
        <w:spacing w:line="200" w:lineRule="atLeast"/>
        <w:jc w:val="both"/>
      </w:pPr>
      <w:r>
        <w:rPr>
          <w:sz w:val="28"/>
          <w:szCs w:val="28"/>
        </w:rPr>
      </w:r>
    </w:p>
    <w:p>
      <w:pPr>
        <w:pStyle w:val="832"/>
        <w:spacing w:line="200" w:lineRule="atLeast"/>
        <w:ind w:firstLine="0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  <w:t xml:space="preserve">Приложение :_______________________________________</w:t>
      </w:r>
      <w:r>
        <w:rPr>
          <w:rFonts w:ascii="Tinos" w:hAnsi="Tinos" w:eastAsia="Tinos" w:cs="Tinos"/>
          <w:color w:val="ff0000"/>
          <w:sz w:val="24"/>
          <w:szCs w:val="24"/>
        </w:rPr>
        <w:t xml:space="preserve">(5)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spacing w:line="200" w:lineRule="atLeast"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(на ___л. в ___экз.)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2"/>
        <w:spacing w:line="200" w:lineRule="atLeast"/>
        <w:jc w:val="lef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"____"_____________20____г.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spacing w:line="200" w:lineRule="atLeast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Fonts w:ascii="'Courier New'" w:hAnsi="'Courier New'" w:cs="'Courier New'"/>
          <w:sz w:val="22"/>
        </w:rPr>
        <w:t xml:space="preserve">_____________ </w:t>
      </w:r>
      <w:r>
        <w:rPr>
          <w:sz w:val="28"/>
          <w:szCs w:val="28"/>
        </w:rPr>
        <w:t xml:space="preserve">           __________</w:t>
      </w:r>
      <w:r>
        <w:rPr>
          <w:color w:val="ff0000"/>
          <w:sz w:val="24"/>
          <w:szCs w:val="24"/>
        </w:rPr>
        <w:t xml:space="preserve">(6)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 _____________________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32"/>
        <w:spacing w:line="200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rFonts w:ascii="Tinos" w:hAnsi="Tinos" w:eastAsia="Tinos" w:cs="Tinos"/>
          <w:sz w:val="16"/>
          <w:szCs w:val="16"/>
        </w:rPr>
        <w:t xml:space="preserve">(дата)     </w:t>
      </w:r>
      <w:r>
        <w:rPr>
          <w:sz w:val="16"/>
          <w:szCs w:val="16"/>
        </w:rPr>
        <w:t xml:space="preserve">                                            (подпись)                                      (фамилия, инициалы)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2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</w:rPr>
      </w:r>
      <w:bookmarkStart w:id="0" w:name="sub_2102"/>
      <w:r>
        <w:rPr>
          <w:rFonts w:ascii="Tinos" w:hAnsi="Tinos" w:eastAsia="Tinos" w:cs="Tinos"/>
          <w:sz w:val="22"/>
          <w:szCs w:val="22"/>
        </w:rPr>
        <w:t xml:space="preserve">(</w:t>
      </w: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) Указывается в творительном падеже  наименование органа регистрации прав, государственным регистратором прав которого принято решение </w:t>
      </w:r>
      <w:r>
        <w:rPr>
          <w:rFonts w:ascii="Tinos" w:hAnsi="Tinos" w:eastAsia="Tinos" w:cs="Tinos"/>
          <w:sz w:val="22"/>
          <w:szCs w:val="22"/>
        </w:rPr>
        <w:t xml:space="preserve">о приостановлении осуществления государственного кадастрового учета и (или) государственной регистрации прав, дата и номер уведомления о приостановлении.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</w:rPr>
      </w:r>
      <w:bookmarkEnd w:id="0"/>
      <w:r>
        <w:rPr>
          <w:rFonts w:ascii="Tinos" w:hAnsi="Tinos" w:eastAsia="Tinos" w:cs="Tinos"/>
        </w:rPr>
      </w:r>
      <w:bookmarkStart w:id="1" w:name="sub_2103"/>
      <w:r>
        <w:rPr>
          <w:rFonts w:ascii="Tinos" w:hAnsi="Tinos" w:eastAsia="Tinos" w:cs="Tinos"/>
          <w:sz w:val="22"/>
          <w:szCs w:val="22"/>
        </w:rPr>
        <w:t xml:space="preserve">(2</w:t>
      </w:r>
      <w:r>
        <w:rPr>
          <w:rFonts w:ascii="Tinos" w:hAnsi="Tinos" w:eastAsia="Tinos" w:cs="Tinos"/>
          <w:sz w:val="22"/>
          <w:szCs w:val="22"/>
        </w:rPr>
        <w:t xml:space="preserve">) Нужное подчеркнуть, если с заявлением представлялся соответствующий документ.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</w:rPr>
      </w:r>
      <w:bookmarkEnd w:id="1"/>
      <w:r>
        <w:rPr>
          <w:rFonts w:ascii="Tinos" w:hAnsi="Tinos" w:eastAsia="Tinos" w:cs="Tinos"/>
        </w:rPr>
      </w:r>
      <w:bookmarkStart w:id="2" w:name="sub_2104"/>
      <w:r>
        <w:rPr>
          <w:rFonts w:ascii="Tinos" w:hAnsi="Tinos" w:eastAsia="Tinos" w:cs="Tinos"/>
          <w:sz w:val="22"/>
          <w:szCs w:val="22"/>
        </w:rPr>
        <w:t xml:space="preserve">(</w:t>
      </w:r>
      <w:r>
        <w:rPr>
          <w:rFonts w:ascii="Tinos" w:hAnsi="Tinos" w:eastAsia="Tinos" w:cs="Tinos"/>
          <w:sz w:val="22"/>
          <w:szCs w:val="22"/>
        </w:rPr>
        <w:t xml:space="preserve">3</w:t>
      </w:r>
      <w:r>
        <w:rPr>
          <w:rFonts w:ascii="Tinos" w:hAnsi="Tinos" w:eastAsia="Tinos" w:cs="Tinos"/>
          <w:sz w:val="22"/>
          <w:szCs w:val="22"/>
        </w:rPr>
        <w:t xml:space="preserve">) Указывает</w:t>
      </w:r>
      <w:r>
        <w:rPr>
          <w:rFonts w:ascii="Tinos" w:hAnsi="Tinos" w:eastAsia="Tinos" w:cs="Tinos"/>
          <w:sz w:val="22"/>
          <w:szCs w:val="22"/>
        </w:rPr>
        <w:t xml:space="preserve">ся в именительном падеже фамилия, имя, отчество (последнее - при наличии), СНИЛС кадастрового инженера, подготовившего соответствующий документ; данный реквизит не заполняется в случае </w:t>
      </w:r>
      <w:r>
        <w:rPr>
          <w:rFonts w:ascii="Tinos" w:hAnsi="Tinos" w:eastAsia="Tinos" w:cs="Tinos"/>
          <w:sz w:val="22"/>
          <w:szCs w:val="22"/>
        </w:rPr>
        <w:t xml:space="preserve">если обжалуется приостановление государственного кадастрового учета и (или) государственной регистрации прав в связи с подготовкой такого документа и заявление об обжаловании решения о приостановлении представляется кадастровым инженером его подготовившим.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</w:rPr>
      </w:r>
      <w:bookmarkEnd w:id="2"/>
      <w:r>
        <w:rPr>
          <w:rFonts w:ascii="Tinos" w:hAnsi="Tinos" w:eastAsia="Tinos" w:cs="Tinos"/>
        </w:rPr>
      </w:r>
      <w:bookmarkStart w:id="3" w:name="sub_2105"/>
      <w:r>
        <w:rPr>
          <w:rFonts w:ascii="Tinos" w:hAnsi="Tinos" w:eastAsia="Tinos" w:cs="Tinos"/>
          <w:sz w:val="22"/>
          <w:szCs w:val="22"/>
        </w:rPr>
        <w:t xml:space="preserve">(</w:t>
      </w:r>
      <w:r>
        <w:rPr>
          <w:rFonts w:ascii="Tinos" w:hAnsi="Tinos" w:eastAsia="Tinos" w:cs="Tinos"/>
          <w:sz w:val="22"/>
          <w:szCs w:val="22"/>
        </w:rPr>
        <w:t xml:space="preserve">4</w:t>
      </w:r>
      <w:r>
        <w:rPr>
          <w:rFonts w:ascii="Tinos" w:hAnsi="Tinos" w:eastAsia="Tinos" w:cs="Tinos"/>
          <w:sz w:val="22"/>
          <w:szCs w:val="22"/>
        </w:rPr>
        <w:t xml:space="preserve">) Указывается обоснование в произвольной форме несоответствия, по мнению заявителя, решения о приостановлении нормам </w:t>
      </w:r>
      <w:r>
        <w:rPr>
          <w:rFonts w:ascii="Tinos" w:hAnsi="Tinos" w:eastAsia="Tinos" w:cs="Tinos"/>
          <w:sz w:val="22"/>
          <w:szCs w:val="22"/>
        </w:rPr>
        <w:t xml:space="preserve">ФЗ</w:t>
      </w:r>
      <w:r>
        <w:rPr>
          <w:rFonts w:ascii="Tinos" w:hAnsi="Tinos" w:eastAsia="Tinos" w:cs="Tinos"/>
          <w:sz w:val="22"/>
          <w:szCs w:val="22"/>
        </w:rPr>
        <w:t xml:space="preserve"> от 13 и</w:t>
      </w:r>
      <w:r>
        <w:rPr>
          <w:rFonts w:ascii="Tinos" w:hAnsi="Tinos" w:eastAsia="Tinos" w:cs="Tinos"/>
          <w:sz w:val="22"/>
          <w:szCs w:val="22"/>
        </w:rPr>
        <w:t xml:space="preserve">юля 2015 г. N 218-ФЗ "О государственной регистрации недвижимости".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</w:rPr>
      </w:r>
      <w:bookmarkEnd w:id="3"/>
      <w:r>
        <w:rPr>
          <w:rFonts w:ascii="Tinos" w:hAnsi="Tinos" w:eastAsia="Tinos" w:cs="Tinos"/>
          <w:sz w:val="22"/>
          <w:szCs w:val="22"/>
        </w:rPr>
        <w:t xml:space="preserve">(</w:t>
      </w:r>
      <w:r>
        <w:rPr>
          <w:rFonts w:ascii="Tinos" w:hAnsi="Tinos" w:eastAsia="Tinos" w:cs="Tinos"/>
          <w:sz w:val="22"/>
          <w:szCs w:val="22"/>
        </w:rPr>
        <w:t xml:space="preserve">5) Указывается </w:t>
      </w:r>
      <w:r>
        <w:rPr>
          <w:rFonts w:ascii="Tinos" w:hAnsi="Tinos" w:eastAsia="Tinos" w:cs="Tinos"/>
          <w:sz w:val="22"/>
        </w:rPr>
        <w:t xml:space="preserve">наименование и вид документа, при направлении в форме электронных </w:t>
      </w:r>
      <w:r>
        <w:rPr>
          <w:rFonts w:ascii="Tinos" w:hAnsi="Tinos" w:eastAsia="Tinos" w:cs="Tinos"/>
          <w:sz w:val="22"/>
        </w:rPr>
        <w:t xml:space="preserve">документов (электронных образов документов) документы в форме </w:t>
      </w:r>
      <w:r>
        <w:rPr>
          <w:rFonts w:ascii="Tinos" w:hAnsi="Tinos" w:eastAsia="Tinos" w:cs="Tinos"/>
          <w:sz w:val="22"/>
        </w:rPr>
        <w:t xml:space="preserve">электронного образа бумажного документа формата А4 и менее, </w:t>
      </w:r>
      <w:r>
        <w:rPr>
          <w:rFonts w:ascii="Tinos" w:hAnsi="Tinos" w:eastAsia="Tinos" w:cs="Tinos"/>
          <w:sz w:val="22"/>
        </w:rPr>
        <w:t xml:space="preserve">созданного в формате PDF, PDF/A или в формате JPG при создании </w:t>
      </w:r>
      <w:r>
        <w:rPr>
          <w:rFonts w:ascii="Tinos" w:hAnsi="Tinos" w:eastAsia="Tinos" w:cs="Tinos"/>
          <w:sz w:val="22"/>
        </w:rPr>
        <w:t xml:space="preserve">электронных образов, превышающих формат А4).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63"/>
        <w:rPr>
          <w:rFonts w:ascii="Tinos" w:hAnsi="Tinos" w:cs="Tinos"/>
          <w:sz w:val="22"/>
        </w:rPr>
      </w:pPr>
      <w:r>
        <w:rPr>
          <w:rFonts w:ascii="Tinos" w:hAnsi="Tinos" w:eastAsia="Tinos" w:cs="Tinos"/>
          <w:sz w:val="22"/>
          <w:szCs w:val="22"/>
        </w:rPr>
        <w:t xml:space="preserve">(6) </w:t>
      </w:r>
      <w:r>
        <w:rPr>
          <w:rFonts w:ascii="Tinos" w:hAnsi="Tinos" w:eastAsia="Tinos" w:cs="Tinos"/>
          <w:sz w:val="22"/>
        </w:rPr>
        <w:t xml:space="preserve">В форме электронного документа </w:t>
      </w:r>
      <w:r>
        <w:rPr>
          <w:rFonts w:ascii="Tinos" w:hAnsi="Tinos" w:eastAsia="Tinos" w:cs="Tinos"/>
          <w:sz w:val="22"/>
        </w:rPr>
        <w:t xml:space="preserve">подписывается электронной подписью </w:t>
      </w:r>
      <w:r>
        <w:rPr>
          <w:rFonts w:ascii="Tinos" w:hAnsi="Tinos" w:eastAsia="Tinos" w:cs="Tinos"/>
          <w:sz w:val="22"/>
        </w:rPr>
        <w:t xml:space="preserve">в соответствии с требованиями</w:t>
      </w:r>
      <w:r>
        <w:rPr>
          <w:rFonts w:ascii="Tinos" w:hAnsi="Tinos" w:cs="Tinos"/>
          <w:sz w:val="22"/>
        </w:rPr>
      </w:r>
      <w:r>
        <w:rPr>
          <w:rFonts w:ascii="Tinos" w:hAnsi="Tinos" w:cs="Tinos"/>
          <w:sz w:val="22"/>
        </w:rPr>
      </w:r>
    </w:p>
    <w:p>
      <w:pPr>
        <w:pStyle w:val="863"/>
        <w:rPr>
          <w:rFonts w:ascii="Tinos" w:hAnsi="Tinos" w:cs="Tinos"/>
          <w:sz w:val="22"/>
        </w:rPr>
      </w:pPr>
      <w:hyperlink r:id="rId8" w:tooltip="https://internet.garant.ru/document/redirect/12184522/21" w:history="1">
        <w:r>
          <w:rPr>
            <w:rFonts w:ascii="Tinos" w:hAnsi="Tinos" w:eastAsia="Tinos" w:cs="Tinos"/>
            <w:sz w:val="22"/>
          </w:rPr>
          <w:t xml:space="preserve">Федерального закона</w:t>
        </w:r>
      </w:hyperlink>
      <w:r>
        <w:rPr>
          <w:rFonts w:ascii="Tinos" w:hAnsi="Tinos" w:eastAsia="Tinos" w:cs="Tinos"/>
          <w:sz w:val="22"/>
        </w:rPr>
        <w:t xml:space="preserve"> от 6 апреля 2011 г.</w:t>
      </w:r>
      <w:r>
        <w:rPr>
          <w:rFonts w:ascii="Tinos" w:hAnsi="Tinos" w:eastAsia="Tinos" w:cs="Tinos"/>
          <w:sz w:val="22"/>
        </w:rPr>
        <w:t xml:space="preserve"> N 63-ФЗ "Об электронной подписи".</w:t>
      </w:r>
      <w:r>
        <w:rPr>
          <w:rFonts w:ascii="Tinos" w:hAnsi="Tinos" w:cs="Tinos"/>
          <w:sz w:val="22"/>
        </w:rPr>
      </w:r>
      <w:r>
        <w:rPr>
          <w:rFonts w:ascii="Tinos" w:hAnsi="Tinos" w:cs="Tinos"/>
          <w:sz w:val="22"/>
        </w:rPr>
      </w:r>
    </w:p>
    <w:p>
      <w:pPr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sectPr>
      <w:footnotePr/>
      <w:endnotePr/>
      <w:type w:val="nextPage"/>
      <w:pgSz w:w="11905" w:h="16837" w:orient="portrait"/>
      <w:pgMar w:top="851" w:right="567" w:bottom="34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&amp;apos;Courier New&amp;apos;">
    <w:panose1 w:val="02000603000000000000"/>
  </w:font>
  <w:font w:name="Times New Roman">
    <w:panose1 w:val="02020603050405020304"/>
  </w:font>
  <w:font w:name="Tahoma">
    <w:panose1 w:val="020B0604030504040204"/>
  </w:font>
  <w:font w:name="Lucida Sans Unicode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ar-SA" w:bidi="ar-SA"/>
    </w:rPr>
  </w:style>
  <w:style w:type="character" w:styleId="833">
    <w:name w:val="Основной шрифт абзаца"/>
    <w:next w:val="833"/>
    <w:link w:val="832"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character" w:styleId="836">
    <w:name w:val="Основной шрифт абзаца3"/>
    <w:next w:val="836"/>
    <w:link w:val="832"/>
  </w:style>
  <w:style w:type="character" w:styleId="837">
    <w:name w:val="Основной шрифт абзаца2"/>
    <w:next w:val="837"/>
    <w:link w:val="832"/>
  </w:style>
  <w:style w:type="character" w:styleId="838">
    <w:name w:val="Absatz-Standardschriftart"/>
    <w:next w:val="838"/>
    <w:link w:val="832"/>
  </w:style>
  <w:style w:type="character" w:styleId="839">
    <w:name w:val="WW-Absatz-Standardschriftart"/>
    <w:next w:val="839"/>
    <w:link w:val="832"/>
  </w:style>
  <w:style w:type="character" w:styleId="840">
    <w:name w:val="WW-Absatz-Standardschriftart1"/>
    <w:next w:val="840"/>
    <w:link w:val="832"/>
  </w:style>
  <w:style w:type="character" w:styleId="841">
    <w:name w:val="WW-Absatz-Standardschriftart11"/>
    <w:next w:val="841"/>
    <w:link w:val="832"/>
  </w:style>
  <w:style w:type="character" w:styleId="842">
    <w:name w:val="WW-Absatz-Standardschriftart111"/>
    <w:next w:val="842"/>
    <w:link w:val="832"/>
  </w:style>
  <w:style w:type="character" w:styleId="843">
    <w:name w:val="WW-Absatz-Standardschriftart1111"/>
    <w:next w:val="843"/>
    <w:link w:val="832"/>
  </w:style>
  <w:style w:type="character" w:styleId="844">
    <w:name w:val="Основной шрифт абзаца1"/>
    <w:next w:val="844"/>
    <w:link w:val="832"/>
  </w:style>
  <w:style w:type="paragraph" w:styleId="845">
    <w:name w:val="Заголовок"/>
    <w:basedOn w:val="832"/>
    <w:next w:val="846"/>
    <w:link w:val="832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846">
    <w:name w:val="Основной текст"/>
    <w:basedOn w:val="832"/>
    <w:next w:val="846"/>
    <w:link w:val="832"/>
    <w:pPr>
      <w:spacing w:before="0" w:after="120"/>
    </w:pPr>
  </w:style>
  <w:style w:type="paragraph" w:styleId="847">
    <w:name w:val="Список"/>
    <w:basedOn w:val="846"/>
    <w:next w:val="847"/>
    <w:link w:val="832"/>
    <w:rPr>
      <w:rFonts w:ascii="Arial" w:hAnsi="Arial" w:cs="Tahoma"/>
    </w:rPr>
  </w:style>
  <w:style w:type="paragraph" w:styleId="848">
    <w:name w:val="Название3"/>
    <w:basedOn w:val="832"/>
    <w:next w:val="848"/>
    <w:link w:val="83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849">
    <w:name w:val="Указатель3"/>
    <w:basedOn w:val="832"/>
    <w:next w:val="849"/>
    <w:link w:val="832"/>
    <w:pPr>
      <w:suppressLineNumbers/>
    </w:pPr>
    <w:rPr>
      <w:rFonts w:ascii="Arial" w:hAnsi="Arial" w:cs="Tahoma"/>
    </w:rPr>
  </w:style>
  <w:style w:type="paragraph" w:styleId="850">
    <w:name w:val="Название2"/>
    <w:basedOn w:val="832"/>
    <w:next w:val="850"/>
    <w:link w:val="83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851">
    <w:name w:val="Указатель2"/>
    <w:basedOn w:val="832"/>
    <w:next w:val="851"/>
    <w:link w:val="832"/>
    <w:pPr>
      <w:suppressLineNumbers/>
    </w:pPr>
    <w:rPr>
      <w:rFonts w:ascii="Arial" w:hAnsi="Arial" w:cs="Tahoma"/>
    </w:rPr>
  </w:style>
  <w:style w:type="paragraph" w:styleId="852">
    <w:name w:val="Название1"/>
    <w:basedOn w:val="832"/>
    <w:next w:val="852"/>
    <w:link w:val="83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853">
    <w:name w:val="Указатель1"/>
    <w:basedOn w:val="832"/>
    <w:next w:val="853"/>
    <w:link w:val="832"/>
    <w:pPr>
      <w:suppressLineNumbers/>
    </w:pPr>
    <w:rPr>
      <w:rFonts w:ascii="Arial" w:hAnsi="Arial" w:cs="Tahoma"/>
    </w:rPr>
  </w:style>
  <w:style w:type="paragraph" w:styleId="854">
    <w:name w:val="Текст выноски"/>
    <w:basedOn w:val="832"/>
    <w:next w:val="854"/>
    <w:link w:val="832"/>
    <w:rPr>
      <w:rFonts w:ascii="Tahoma" w:hAnsi="Tahoma" w:cs="Tahoma"/>
      <w:sz w:val="16"/>
      <w:szCs w:val="16"/>
    </w:rPr>
  </w:style>
  <w:style w:type="paragraph" w:styleId="855">
    <w:name w:val=".FORMATTEXT"/>
    <w:next w:val="855"/>
    <w:link w:val="832"/>
    <w:pPr>
      <w:widowControl w:val="off"/>
    </w:pPr>
    <w:rPr>
      <w:rFonts w:eastAsia="Arial"/>
      <w:sz w:val="24"/>
      <w:szCs w:val="24"/>
      <w:lang w:val="ru-RU" w:eastAsia="ar-SA" w:bidi="ar-SA"/>
    </w:rPr>
  </w:style>
  <w:style w:type="paragraph" w:styleId="856">
    <w:name w:val="Обычный (веб)"/>
    <w:basedOn w:val="832"/>
    <w:next w:val="856"/>
    <w:link w:val="832"/>
    <w:pPr>
      <w:spacing w:before="100" w:beforeAutospacing="1" w:after="119"/>
    </w:pPr>
    <w:rPr>
      <w:lang w:eastAsia="ru-RU"/>
    </w:rPr>
  </w:style>
  <w:style w:type="character" w:styleId="857">
    <w:name w:val="Выделение"/>
    <w:next w:val="857"/>
    <w:link w:val="832"/>
    <w:qFormat/>
    <w:rPr>
      <w:i/>
      <w:iCs/>
    </w:rPr>
  </w:style>
  <w:style w:type="character" w:styleId="858">
    <w:name w:val="Гиперссылка"/>
    <w:next w:val="858"/>
    <w:link w:val="832"/>
    <w:unhideWhenUsed/>
    <w:rPr>
      <w:color w:val="0000ff"/>
      <w:u w:val="single"/>
    </w:rPr>
  </w:style>
  <w:style w:type="character" w:styleId="859">
    <w:name w:val="Гипертекстовая ссылка"/>
    <w:next w:val="859"/>
    <w:link w:val="832"/>
    <w:uiPriority w:val="99"/>
    <w:rPr>
      <w:rFonts w:cs="Times New Roman"/>
      <w:b/>
      <w:color w:val="106bbe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863" w:customStyle="1">
    <w:name w:val="Нормальный (OEM)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ascii="'Courier New'" w:hAnsi="'Courier New'" w:eastAsia="Times New Roman" w:cs="'Courier New'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64" w:customStyle="1">
    <w:name w:val="Нормальный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72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document/redirect/12184522/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DSR</Company>
  <DocSecurity>0</DocSecurity>
  <HyperlinksChanged>false</HyperlinksChanged>
  <ScaleCrop>false</ScaleCrop>
  <SharedDoc>false</SharedDoc>
  <Template>Протокол_поручений_24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GaripovaRG</dc:creator>
  <cp:revision>6</cp:revision>
  <dcterms:created xsi:type="dcterms:W3CDTF">2021-03-29T11:04:00Z</dcterms:created>
  <dcterms:modified xsi:type="dcterms:W3CDTF">2026-01-19T08:33:43Z</dcterms:modified>
  <cp:version>983040</cp:version>
</cp:coreProperties>
</file>